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19375" w14:textId="77777777" w:rsidR="00F845F8" w:rsidRDefault="00F845F8" w:rsidP="00C03917">
      <w:pPr>
        <w:pStyle w:val="Heading1"/>
      </w:pPr>
    </w:p>
    <w:p w14:paraId="58C2E4C0" w14:textId="77777777" w:rsidR="001D6653" w:rsidRPr="00C03917" w:rsidRDefault="001D6653" w:rsidP="001D6653">
      <w:pPr>
        <w:pStyle w:val="Heading1"/>
      </w:pPr>
      <w:r w:rsidRPr="00C03917">
        <w:t xml:space="preserve">NAB </w:t>
      </w:r>
      <w:r>
        <w:t xml:space="preserve">CONNECT </w:t>
      </w:r>
      <w:r w:rsidRPr="00C03917">
        <w:t xml:space="preserve">– </w:t>
      </w:r>
      <w:r>
        <w:t>FOREIGN EXCHANGE SERIES</w:t>
      </w:r>
    </w:p>
    <w:p w14:paraId="47CE796F" w14:textId="77777777" w:rsidR="001D6653" w:rsidRPr="00E00B87" w:rsidRDefault="001D6653" w:rsidP="001D6653">
      <w:pPr>
        <w:rPr>
          <w:rFonts w:ascii="Source Sans Pro" w:hAnsi="Source Sans Pro"/>
          <w:b/>
          <w:color w:val="C20000"/>
        </w:rPr>
      </w:pPr>
    </w:p>
    <w:p w14:paraId="57156F70" w14:textId="66F70470" w:rsidR="001D6653" w:rsidRPr="00FB3456" w:rsidRDefault="001D6653" w:rsidP="001D6653">
      <w:pPr>
        <w:rPr>
          <w:rFonts w:ascii="NAB Impact" w:hAnsi="NAB Impact"/>
          <w:sz w:val="56"/>
          <w:szCs w:val="56"/>
        </w:rPr>
      </w:pPr>
      <w:r>
        <w:rPr>
          <w:rFonts w:ascii="NAB Impact" w:hAnsi="NAB Impact"/>
          <w:sz w:val="56"/>
          <w:szCs w:val="56"/>
        </w:rPr>
        <w:t>HOW TO PRE-DELIVER A DEAL</w:t>
      </w:r>
    </w:p>
    <w:p w14:paraId="53BD51C7" w14:textId="77777777" w:rsidR="001D6653" w:rsidRDefault="00162443" w:rsidP="001D6653">
      <w:pPr>
        <w:rPr>
          <w:rFonts w:ascii="Source Sans Pro" w:hAnsi="Source Sans Pro"/>
        </w:rPr>
      </w:pPr>
      <w:r>
        <w:rPr>
          <w:rFonts w:ascii="Source Sans Pro" w:hAnsi="Source Sans Pro"/>
        </w:rPr>
        <w:br/>
      </w:r>
      <w:r w:rsidR="001D6653">
        <w:rPr>
          <w:rFonts w:ascii="Source Sans Pro" w:hAnsi="Source Sans Pro"/>
        </w:rPr>
        <w:t xml:space="preserve">From the Account Summary screen, select ‘Services’, then click ‘Foreign Exchange </w:t>
      </w:r>
      <w:proofErr w:type="gramStart"/>
      <w:r w:rsidR="001D6653">
        <w:rPr>
          <w:rFonts w:ascii="Source Sans Pro" w:hAnsi="Source Sans Pro"/>
        </w:rPr>
        <w:t>deals’</w:t>
      </w:r>
      <w:proofErr w:type="gramEnd"/>
      <w:r w:rsidR="001D6653">
        <w:rPr>
          <w:rFonts w:ascii="Source Sans Pro" w:hAnsi="Source Sans Pro"/>
        </w:rPr>
        <w:t>.</w:t>
      </w:r>
    </w:p>
    <w:p w14:paraId="619B84BA" w14:textId="3CA74D60" w:rsidR="00E00B87" w:rsidRDefault="00E00B87" w:rsidP="001D6653">
      <w:pPr>
        <w:tabs>
          <w:tab w:val="left" w:pos="2910"/>
        </w:tabs>
        <w:rPr>
          <w:rFonts w:ascii="Source Sans Pro" w:hAnsi="Source Sans Pro"/>
        </w:rPr>
      </w:pPr>
    </w:p>
    <w:p w14:paraId="79502EF8" w14:textId="7E38B21E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To pre-deliver an FX deal:</w:t>
      </w:r>
    </w:p>
    <w:p w14:paraId="6016378F" w14:textId="4F5E6328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</w:p>
    <w:p w14:paraId="730ED92F" w14:textId="5E8650FD" w:rsidR="001D6653" w:rsidRDefault="001D6653" w:rsidP="001D6653">
      <w:pPr>
        <w:pStyle w:val="ListParagraph"/>
        <w:numPr>
          <w:ilvl w:val="0"/>
          <w:numId w:val="10"/>
        </w:num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Select the forward contract you wish to utilise early</w:t>
      </w:r>
    </w:p>
    <w:p w14:paraId="61DDD612" w14:textId="0A97D98A" w:rsidR="001D6653" w:rsidRDefault="001D6653" w:rsidP="001D6653">
      <w:pPr>
        <w:pStyle w:val="ListParagraph"/>
        <w:numPr>
          <w:ilvl w:val="0"/>
          <w:numId w:val="10"/>
        </w:num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You can pre-deliver part or the full contract</w:t>
      </w:r>
    </w:p>
    <w:p w14:paraId="7E8135A2" w14:textId="7C8F74C2" w:rsidR="001D6653" w:rsidRDefault="001D6653" w:rsidP="001D6653">
      <w:pPr>
        <w:pStyle w:val="ListParagraph"/>
        <w:numPr>
          <w:ilvl w:val="0"/>
          <w:numId w:val="10"/>
        </w:num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Click ‘Pre-deliver’</w:t>
      </w:r>
    </w:p>
    <w:p w14:paraId="267F2586" w14:textId="58E80216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</w:p>
    <w:p w14:paraId="57A4DB56" w14:textId="1B8EE13A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 xml:space="preserve">This example shows a partial </w:t>
      </w:r>
      <w:r w:rsidR="00EF2B3B">
        <w:rPr>
          <w:rFonts w:ascii="Source Sans Pro" w:hAnsi="Source Sans Pro"/>
        </w:rPr>
        <w:t>P</w:t>
      </w:r>
      <w:r>
        <w:rPr>
          <w:rFonts w:ascii="Source Sans Pro" w:hAnsi="Source Sans Pro"/>
        </w:rPr>
        <w:t>re-delivery.</w:t>
      </w:r>
    </w:p>
    <w:p w14:paraId="65AC4F51" w14:textId="1E6BB2AA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</w:p>
    <w:p w14:paraId="24B1EE3D" w14:textId="7344ECA9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Enter the following details:</w:t>
      </w:r>
    </w:p>
    <w:p w14:paraId="3637F2AD" w14:textId="1B65A440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</w:p>
    <w:p w14:paraId="255AF714" w14:textId="32B0CD1D" w:rsidR="001D6653" w:rsidRDefault="001D6653" w:rsidP="001D6653">
      <w:pPr>
        <w:pStyle w:val="ListParagraph"/>
        <w:numPr>
          <w:ilvl w:val="0"/>
          <w:numId w:val="11"/>
        </w:num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Amount to pre-deliver in currency of the original deal</w:t>
      </w:r>
    </w:p>
    <w:p w14:paraId="478DEC0C" w14:textId="6E5D0014" w:rsidR="001D6653" w:rsidRDefault="001D6653" w:rsidP="001D6653">
      <w:pPr>
        <w:pStyle w:val="ListParagraph"/>
        <w:numPr>
          <w:ilvl w:val="0"/>
          <w:numId w:val="11"/>
        </w:num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‘New value date’</w:t>
      </w:r>
      <w:r w:rsidR="00EF2B3B">
        <w:rPr>
          <w:rFonts w:ascii="Source Sans Pro" w:hAnsi="Source Sans Pro"/>
        </w:rPr>
        <w:t xml:space="preserve"> or leave as ‘Today’</w:t>
      </w:r>
    </w:p>
    <w:p w14:paraId="7A1DC1D9" w14:textId="5E5FCBAF" w:rsidR="001D6653" w:rsidRDefault="001D6653" w:rsidP="001D6653">
      <w:pPr>
        <w:pStyle w:val="ListParagraph"/>
        <w:numPr>
          <w:ilvl w:val="0"/>
          <w:numId w:val="11"/>
        </w:num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Enter a reference</w:t>
      </w:r>
    </w:p>
    <w:p w14:paraId="1C15E048" w14:textId="32A0AD52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</w:p>
    <w:p w14:paraId="5925F62F" w14:textId="268D4215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Click ‘Get pre-deliver rate’.</w:t>
      </w:r>
    </w:p>
    <w:p w14:paraId="142CE790" w14:textId="19BC412D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</w:p>
    <w:p w14:paraId="661D2839" w14:textId="6A4ED024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Review all pre-delivery details before confirming your pre-delivery.</w:t>
      </w:r>
    </w:p>
    <w:p w14:paraId="6C93EFF5" w14:textId="02698604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</w:p>
    <w:p w14:paraId="2546EC3F" w14:textId="7443D4EC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Click ‘Pre-deliver now’.</w:t>
      </w:r>
    </w:p>
    <w:p w14:paraId="694C6A40" w14:textId="339517A8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</w:p>
    <w:p w14:paraId="79B94BEA" w14:textId="53633F4B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Congratulations, your pre-delivery is complete and ready for us</w:t>
      </w:r>
      <w:r w:rsidR="00EF2B3B">
        <w:rPr>
          <w:rFonts w:ascii="Source Sans Pro" w:hAnsi="Source Sans Pro"/>
        </w:rPr>
        <w:t>e</w:t>
      </w:r>
      <w:r>
        <w:rPr>
          <w:rFonts w:ascii="Source Sans Pro" w:hAnsi="Source Sans Pro"/>
        </w:rPr>
        <w:t>.</w:t>
      </w:r>
    </w:p>
    <w:p w14:paraId="36C20980" w14:textId="4CF3543B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</w:p>
    <w:p w14:paraId="2DF34861" w14:textId="6637C71F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Your new deal reference can be viewed in FX deals.</w:t>
      </w:r>
    </w:p>
    <w:p w14:paraId="04DEE215" w14:textId="7593EFBB" w:rsidR="001D6653" w:rsidRDefault="001D6653" w:rsidP="001D6653">
      <w:pPr>
        <w:tabs>
          <w:tab w:val="left" w:pos="2910"/>
        </w:tabs>
        <w:rPr>
          <w:rFonts w:ascii="Source Sans Pro" w:hAnsi="Source Sans Pro"/>
        </w:rPr>
      </w:pPr>
    </w:p>
    <w:p w14:paraId="474A411B" w14:textId="59C706B9" w:rsidR="00C11FD1" w:rsidRDefault="001D6653" w:rsidP="001D6653">
      <w:pPr>
        <w:tabs>
          <w:tab w:val="left" w:pos="2910"/>
        </w:tabs>
        <w:rPr>
          <w:rFonts w:ascii="Source Sans Pro" w:hAnsi="Source Sans Pro"/>
        </w:rPr>
      </w:pPr>
      <w:r>
        <w:rPr>
          <w:rFonts w:ascii="Source Sans Pro" w:hAnsi="Source Sans Pro"/>
        </w:rPr>
        <w:t>Expired Forward contracts can only be utilised by calling your FX Dealer.</w:t>
      </w:r>
    </w:p>
    <w:p w14:paraId="4359D534" w14:textId="6854F83E" w:rsidR="002626A2" w:rsidRDefault="002626A2" w:rsidP="001D6653">
      <w:pPr>
        <w:tabs>
          <w:tab w:val="left" w:pos="2910"/>
        </w:tabs>
        <w:rPr>
          <w:rFonts w:ascii="Source Sans Pro" w:hAnsi="Source Sans Pro"/>
        </w:rPr>
      </w:pPr>
    </w:p>
    <w:p w14:paraId="69D3A760" w14:textId="77777777" w:rsidR="002626A2" w:rsidRDefault="002626A2" w:rsidP="002626A2">
      <w:pPr>
        <w:rPr>
          <w:rFonts w:ascii="Source Sans Pro" w:hAnsi="Source Sans Pro"/>
        </w:rPr>
      </w:pPr>
      <w:r>
        <w:rPr>
          <w:rFonts w:ascii="Source Sans Pro" w:hAnsi="Source Sans Pro"/>
        </w:rPr>
        <w:t>Examples are for illustrative purposes only and does not reflect current prices or outcomes.</w:t>
      </w:r>
    </w:p>
    <w:p w14:paraId="77C90BC0" w14:textId="77777777" w:rsidR="002626A2" w:rsidRDefault="002626A2" w:rsidP="002626A2">
      <w:pPr>
        <w:rPr>
          <w:rFonts w:ascii="Source Sans Pro" w:hAnsi="Source Sans Pro"/>
        </w:rPr>
      </w:pPr>
    </w:p>
    <w:p w14:paraId="76D4CAF2" w14:textId="77777777" w:rsidR="002626A2" w:rsidRDefault="002626A2" w:rsidP="002626A2">
      <w:pPr>
        <w:rPr>
          <w:rFonts w:ascii="Source Sans Pro" w:hAnsi="Source Sans Pro"/>
        </w:rPr>
      </w:pPr>
      <w:r>
        <w:rPr>
          <w:rFonts w:ascii="Source Sans Pro" w:hAnsi="Source Sans Pro"/>
        </w:rPr>
        <w:t>The information provided in this video is intended to be of a general nature only. It has been prepared without taking into account your objectives, financial situation or needs.</w:t>
      </w:r>
    </w:p>
    <w:p w14:paraId="5C7A8C0A" w14:textId="77777777" w:rsidR="002626A2" w:rsidRDefault="002626A2" w:rsidP="002626A2">
      <w:pPr>
        <w:rPr>
          <w:rFonts w:ascii="Source Sans Pro" w:hAnsi="Source Sans Pro"/>
        </w:rPr>
      </w:pPr>
    </w:p>
    <w:p w14:paraId="645B4BA6" w14:textId="77777777" w:rsidR="002626A2" w:rsidRPr="00367B7F" w:rsidRDefault="002626A2" w:rsidP="002626A2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Source Sans Pro" w:hAnsi="Source Sans Pro"/>
        </w:rPr>
        <w:t>NAB. More than money.</w:t>
      </w:r>
    </w:p>
    <w:p w14:paraId="1EC43FE3" w14:textId="77777777" w:rsidR="002626A2" w:rsidRPr="001D6653" w:rsidRDefault="002626A2" w:rsidP="001D6653">
      <w:pPr>
        <w:tabs>
          <w:tab w:val="left" w:pos="2910"/>
        </w:tabs>
        <w:rPr>
          <w:rFonts w:ascii="Source Sans Pro" w:hAnsi="Source Sans Pro"/>
        </w:rPr>
      </w:pPr>
    </w:p>
    <w:sectPr w:rsidR="002626A2" w:rsidRPr="001D6653" w:rsidSect="00130D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AB Impact">
    <w:panose1 w:val="02010608060202020104"/>
    <w:charset w:val="00"/>
    <w:family w:val="auto"/>
    <w:notTrueType/>
    <w:pitch w:val="variable"/>
    <w:sig w:usb0="80000003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4F75"/>
    <w:multiLevelType w:val="hybridMultilevel"/>
    <w:tmpl w:val="EFE602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1C77"/>
    <w:multiLevelType w:val="hybridMultilevel"/>
    <w:tmpl w:val="6DAAB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50EC7"/>
    <w:multiLevelType w:val="hybridMultilevel"/>
    <w:tmpl w:val="1448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0BCA"/>
    <w:multiLevelType w:val="hybridMultilevel"/>
    <w:tmpl w:val="048E1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C6DF9"/>
    <w:multiLevelType w:val="hybridMultilevel"/>
    <w:tmpl w:val="CA4C7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A53BE"/>
    <w:multiLevelType w:val="hybridMultilevel"/>
    <w:tmpl w:val="AD74C1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C5C28"/>
    <w:multiLevelType w:val="multilevel"/>
    <w:tmpl w:val="6212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11038"/>
    <w:multiLevelType w:val="hybridMultilevel"/>
    <w:tmpl w:val="CC14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71645"/>
    <w:multiLevelType w:val="hybridMultilevel"/>
    <w:tmpl w:val="469C5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176C3"/>
    <w:multiLevelType w:val="hybridMultilevel"/>
    <w:tmpl w:val="ED986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81F5C"/>
    <w:multiLevelType w:val="hybridMultilevel"/>
    <w:tmpl w:val="8550B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87"/>
    <w:rsid w:val="00004C46"/>
    <w:rsid w:val="00015834"/>
    <w:rsid w:val="00030FD7"/>
    <w:rsid w:val="00106D3C"/>
    <w:rsid w:val="00130DE1"/>
    <w:rsid w:val="00162443"/>
    <w:rsid w:val="001660C7"/>
    <w:rsid w:val="001C1CED"/>
    <w:rsid w:val="001D6653"/>
    <w:rsid w:val="0022008C"/>
    <w:rsid w:val="002626A2"/>
    <w:rsid w:val="003653F6"/>
    <w:rsid w:val="00406882"/>
    <w:rsid w:val="004645BD"/>
    <w:rsid w:val="00490C65"/>
    <w:rsid w:val="00502B4C"/>
    <w:rsid w:val="005E25D0"/>
    <w:rsid w:val="00672663"/>
    <w:rsid w:val="006B7953"/>
    <w:rsid w:val="006C5C91"/>
    <w:rsid w:val="00713997"/>
    <w:rsid w:val="007441D6"/>
    <w:rsid w:val="0077154D"/>
    <w:rsid w:val="007E3996"/>
    <w:rsid w:val="007E7BAF"/>
    <w:rsid w:val="00881673"/>
    <w:rsid w:val="008B09E8"/>
    <w:rsid w:val="00904CF5"/>
    <w:rsid w:val="00971146"/>
    <w:rsid w:val="00983761"/>
    <w:rsid w:val="00AA2A7F"/>
    <w:rsid w:val="00B30B70"/>
    <w:rsid w:val="00B54B6E"/>
    <w:rsid w:val="00B56C41"/>
    <w:rsid w:val="00B74789"/>
    <w:rsid w:val="00BE75E5"/>
    <w:rsid w:val="00C03917"/>
    <w:rsid w:val="00C11FD1"/>
    <w:rsid w:val="00DB646E"/>
    <w:rsid w:val="00DC6870"/>
    <w:rsid w:val="00DD5FDC"/>
    <w:rsid w:val="00E00B87"/>
    <w:rsid w:val="00E554E9"/>
    <w:rsid w:val="00E759E9"/>
    <w:rsid w:val="00EC3E29"/>
    <w:rsid w:val="00EF2B3B"/>
    <w:rsid w:val="00F16E96"/>
    <w:rsid w:val="00F553DB"/>
    <w:rsid w:val="00F845F8"/>
    <w:rsid w:val="00F95E23"/>
    <w:rsid w:val="1D8662FE"/>
    <w:rsid w:val="3B8264DB"/>
    <w:rsid w:val="778F82BC"/>
    <w:rsid w:val="7D96B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2A69E"/>
  <w15:docId w15:val="{0E544067-2C89-4AF1-B215-E152D7D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917"/>
    <w:pPr>
      <w:outlineLvl w:val="0"/>
    </w:pPr>
    <w:rPr>
      <w:rFonts w:ascii="Source Sans Pro" w:hAnsi="Source Sans Pro"/>
      <w:b/>
      <w:color w:val="C2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917"/>
    <w:pPr>
      <w:outlineLvl w:val="1"/>
    </w:pPr>
    <w:rPr>
      <w:rFonts w:ascii="NAB Impact" w:hAnsi="NAB Impact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917"/>
    <w:pPr>
      <w:outlineLvl w:val="2"/>
    </w:pPr>
    <w:rPr>
      <w:rFonts w:ascii="Source Sans Pro" w:hAnsi="Source Sans Pro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17"/>
    <w:rPr>
      <w:rFonts w:ascii="Source Sans Pro" w:hAnsi="Source Sans Pro"/>
      <w:b/>
      <w:color w:val="C20000"/>
    </w:rPr>
  </w:style>
  <w:style w:type="character" w:styleId="SubtleReference">
    <w:name w:val="Subtle Reference"/>
    <w:basedOn w:val="DefaultParagraphFont"/>
    <w:uiPriority w:val="31"/>
    <w:qFormat/>
    <w:rsid w:val="00E00B87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E00B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B8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0B8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E00B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3917"/>
    <w:rPr>
      <w:rFonts w:ascii="NAB Impact" w:hAnsi="NAB Impact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03917"/>
    <w:rPr>
      <w:rFonts w:ascii="Source Sans Pro" w:hAnsi="Source Sans Pro"/>
      <w:b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845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5F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E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6D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9083-266C-304E-8557-BDC8FA3C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Nathasha Jayaweera</dc:creator>
  <cp:keywords/>
  <dc:description/>
  <cp:lastModifiedBy>Antonio Ortin</cp:lastModifiedBy>
  <cp:revision>5</cp:revision>
  <dcterms:created xsi:type="dcterms:W3CDTF">2019-02-19T22:19:00Z</dcterms:created>
  <dcterms:modified xsi:type="dcterms:W3CDTF">2020-10-06T22:33:00Z</dcterms:modified>
</cp:coreProperties>
</file>